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爱民区</w:t>
      </w:r>
      <w:r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公共文化服务领域基层政务公开标准目录</w:t>
      </w:r>
    </w:p>
    <w:tbl>
      <w:tblPr>
        <w:tblStyle w:val="4"/>
        <w:tblpPr w:leftFromText="180" w:rightFromText="180" w:vertAnchor="text" w:horzAnchor="page" w:tblpX="1482" w:tblpY="582"/>
        <w:tblOverlap w:val="never"/>
        <w:tblW w:w="13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646"/>
        <w:gridCol w:w="767"/>
        <w:gridCol w:w="1740"/>
        <w:gridCol w:w="2745"/>
        <w:gridCol w:w="780"/>
        <w:gridCol w:w="765"/>
        <w:gridCol w:w="1935"/>
        <w:gridCol w:w="595"/>
        <w:gridCol w:w="621"/>
        <w:gridCol w:w="554"/>
        <w:gridCol w:w="577"/>
        <w:gridCol w:w="634"/>
        <w:gridCol w:w="6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序号</w:t>
            </w:r>
          </w:p>
        </w:tc>
        <w:tc>
          <w:tcPr>
            <w:tcW w:w="14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公开事项</w:t>
            </w:r>
          </w:p>
        </w:tc>
        <w:tc>
          <w:tcPr>
            <w:tcW w:w="17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公开内容（要素）</w:t>
            </w:r>
          </w:p>
        </w:tc>
        <w:tc>
          <w:tcPr>
            <w:tcW w:w="27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公开依据</w:t>
            </w:r>
          </w:p>
        </w:tc>
        <w:tc>
          <w:tcPr>
            <w:tcW w:w="7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公开时限</w:t>
            </w:r>
          </w:p>
        </w:tc>
        <w:tc>
          <w:tcPr>
            <w:tcW w:w="7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公开主体</w:t>
            </w:r>
          </w:p>
        </w:tc>
        <w:tc>
          <w:tcPr>
            <w:tcW w:w="19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公开渠道和载体</w:t>
            </w:r>
          </w:p>
        </w:tc>
        <w:tc>
          <w:tcPr>
            <w:tcW w:w="12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公开对象</w:t>
            </w:r>
          </w:p>
        </w:tc>
        <w:tc>
          <w:tcPr>
            <w:tcW w:w="11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公开方式</w:t>
            </w: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一级事项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二级事项</w:t>
            </w:r>
          </w:p>
        </w:tc>
        <w:tc>
          <w:tcPr>
            <w:tcW w:w="17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全社会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特定群众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主动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依申请公开</w:t>
            </w: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县级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乡、村级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42424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公共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服务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组织开展群众文化活动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1.机构名称；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2.开放时间；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3.机构地址；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4.联系电话；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5.临时停止活动信息。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《政府信息公开条例》、《文化馆服务标准》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13"/>
                <w:szCs w:val="13"/>
                <w:lang w:eastAsia="zh-CN"/>
              </w:rPr>
            </w:pPr>
            <w:r>
              <w:rPr>
                <w:rFonts w:hint="eastAsia"/>
                <w:color w:val="424242"/>
                <w:sz w:val="13"/>
                <w:szCs w:val="13"/>
                <w:lang w:eastAsia="zh-CN"/>
              </w:rPr>
              <w:t>街道办事处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下基层辅导、演出、展览和指导基层群众文化活动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1.活动时间；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2.活动单位；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3.活动地址；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4.联系电话；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5.临时停止活动信息。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《政府信息公开条例》、《文化馆服务标准》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rFonts w:hint="eastAsia"/>
                <w:color w:val="424242"/>
                <w:sz w:val="13"/>
                <w:szCs w:val="13"/>
                <w:lang w:eastAsia="zh-CN"/>
              </w:rPr>
              <w:t>街道办事处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举办各类展览、讲座信息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1.活动时间；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2.活动单位；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3.活动地址；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4.联系电话；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5.临时停止活动信息。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《政府信息公开条例》、《乡镇综合文化站管理办法》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rFonts w:hint="eastAsia"/>
                <w:color w:val="424242"/>
                <w:sz w:val="13"/>
                <w:szCs w:val="13"/>
                <w:lang w:eastAsia="zh-CN"/>
              </w:rPr>
              <w:t>街道办事处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424242"/>
                <w:sz w:val="13"/>
                <w:szCs w:val="13"/>
              </w:rPr>
            </w:pP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辅导和培训基层文化骨干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1.培训时间；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2.培训单位；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3.培训地址；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4.联系电话；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5.临时停止活动信息。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《政府信息公开条例》、《乡镇综合文化站管理办法》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信息形成或变更之日起20个工作日内公开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rFonts w:hint="eastAsia"/>
                <w:color w:val="424242"/>
                <w:sz w:val="13"/>
                <w:szCs w:val="13"/>
                <w:lang w:eastAsia="zh-CN"/>
              </w:rPr>
              <w:t>街道办事处</w:t>
            </w:r>
            <w:bookmarkStart w:id="0" w:name="_GoBack"/>
            <w:bookmarkEnd w:id="0"/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■政府网站</w:t>
            </w:r>
          </w:p>
        </w:tc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color w:val="424242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13"/>
                <w:szCs w:val="13"/>
              </w:rPr>
            </w:pPr>
            <w:r>
              <w:rPr>
                <w:color w:val="424242"/>
                <w:sz w:val="13"/>
                <w:szCs w:val="13"/>
              </w:rPr>
              <w:t>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/>
        <w:jc w:val="left"/>
        <w:textAlignment w:val="center"/>
      </w:pP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instrText xml:space="preserve"> HYPERLINK "http://www.scqs.gov.cn/info/13081/${v_link('" \l "')}" \o "分享到新浪微博" </w:instrText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instrText xml:space="preserve"> HYPERLINK "http://www.scqs.gov.cn/info/13081/${v_link('" \l "')}" \o "分享到微信" </w:instrText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lang w:val="en-US" w:eastAsia="zh-CN" w:bidi="ar"/>
        </w:rPr>
        <w:fldChar w:fldCharType="end"/>
      </w:r>
    </w:p>
    <w:p>
      <w:pPr>
        <w:rPr>
          <w:vanish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34190"/>
    <w:rsid w:val="00D43AC5"/>
    <w:rsid w:val="0EFA2099"/>
    <w:rsid w:val="1EC15478"/>
    <w:rsid w:val="356111B8"/>
    <w:rsid w:val="43466313"/>
    <w:rsid w:val="44BC6D30"/>
    <w:rsid w:val="44FF2A17"/>
    <w:rsid w:val="462F087D"/>
    <w:rsid w:val="4ACA747E"/>
    <w:rsid w:val="506824CC"/>
    <w:rsid w:val="5110354B"/>
    <w:rsid w:val="5492125D"/>
    <w:rsid w:val="5A407EC2"/>
    <w:rsid w:val="63A66435"/>
    <w:rsid w:val="66C17C63"/>
    <w:rsid w:val="6ADB0BB9"/>
    <w:rsid w:val="6D49041B"/>
    <w:rsid w:val="6DA57E1D"/>
    <w:rsid w:val="79434190"/>
    <w:rsid w:val="7A254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2020-12-14T07:08:00Z</dcterms:created>
  <dc:creator>赫舍里.荣江</dc:creator>
  <cp:lastModifiedBy>摩侯罗迦</cp:lastModifiedBy>
  <dcterms:modified xsi:type="dcterms:W3CDTF">2021-01-16T03:53:14Z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